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41.jpg" ContentType="image/jpeg"/>
  <Override PartName="/word/media/rId43.jpg" ContentType="image/jpeg"/>
  <Override PartName="/word/media/rId45.jpg" ContentType="image/jpeg"/>
  <Override PartName="/word/media/rId47.jpg" ContentType="image/jpeg"/>
  <Override PartName="/word/media/rId25.jpg" ContentType="image/jpeg"/>
  <Override PartName="/word/media/rId27.jpg" ContentType="image/jpeg"/>
  <Override PartName="/word/media/rId29.jpg" ContentType="image/jpeg"/>
  <Override PartName="/word/media/rId31.jpg" ContentType="image/jpeg"/>
  <Override PartName="/word/media/rId33.jpg" ContentType="image/jpeg"/>
  <Override PartName="/word/media/rId35.jpg" ContentType="image/jpeg"/>
  <Override PartName="/word/media/rId37.jpg" ContentType="image/jpeg"/>
  <Override PartName="/word/media/rId39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№2</w:t>
      </w:r>
    </w:p>
    <w:p>
      <w:pPr>
        <w:pStyle w:val="Subtitle"/>
      </w:pPr>
      <w:r>
        <w:t xml:space="preserve">Киберполигон</w:t>
      </w:r>
      <w:r>
        <w:t xml:space="preserve"> </w:t>
      </w:r>
      <w:r>
        <w:t xml:space="preserve">захват</w:t>
      </w:r>
      <w:r>
        <w:t xml:space="preserve"> </w:t>
      </w:r>
      <w:r>
        <w:t xml:space="preserve">почтового</w:t>
      </w:r>
      <w:r>
        <w:t xml:space="preserve"> </w:t>
      </w:r>
      <w:r>
        <w:t xml:space="preserve">сервера</w:t>
      </w:r>
    </w:p>
    <w:p>
      <w:pPr>
        <w:pStyle w:val="Author"/>
      </w:pPr>
      <w:r>
        <w:t xml:space="preserve">Выполнили</w:t>
      </w:r>
      <w:r>
        <w:t xml:space="preserve"> </w:t>
      </w:r>
      <w:r>
        <w:t xml:space="preserve">Студенты</w:t>
      </w:r>
      <w:r>
        <w:t xml:space="preserve"> </w:t>
      </w:r>
      <w:r>
        <w:t xml:space="preserve">группы</w:t>
      </w:r>
      <w:r>
        <w:t xml:space="preserve"> </w:t>
      </w:r>
      <w:r>
        <w:t xml:space="preserve">НБИбд-02-22.</w:t>
      </w:r>
      <w:r>
        <w:t xml:space="preserve"> </w:t>
      </w:r>
      <w:r>
        <w:t xml:space="preserve">Щербака</w:t>
      </w:r>
      <w:r>
        <w:t xml:space="preserve"> </w:t>
      </w:r>
      <w:r>
        <w:t xml:space="preserve">В.В.,</w:t>
      </w:r>
      <w:r>
        <w:t xml:space="preserve"> </w:t>
      </w:r>
      <w:r>
        <w:t xml:space="preserve">Захаренко</w:t>
      </w:r>
      <w:r>
        <w:t xml:space="preserve"> </w:t>
      </w:r>
      <w:r>
        <w:t xml:space="preserve">А.В.,</w:t>
      </w:r>
      <w:r>
        <w:t xml:space="preserve"> </w:t>
      </w:r>
      <w:r>
        <w:t xml:space="preserve">Кроитору</w:t>
      </w:r>
      <w:r>
        <w:t xml:space="preserve"> </w:t>
      </w:r>
      <w:r>
        <w:t xml:space="preserve">Е.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Провести тестирование на проникновение в рамках киберполигона, выявить уязвимости в инфраструктуре, получить несанкционированный доступ к системе и захватить флаг, используя инструменты сканирования и эксплуатации.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Просканировать подсеть (195.239.174.0/24) и выявить открытые порты.</w:t>
      </w:r>
    </w:p>
    <w:p>
      <w:pPr>
        <w:numPr>
          <w:ilvl w:val="0"/>
          <w:numId w:val="1001"/>
        </w:numPr>
        <w:pStyle w:val="Compact"/>
      </w:pPr>
      <w:r>
        <w:t xml:space="preserve">Определить сервисы, работающие на найденных портах.</w:t>
      </w:r>
    </w:p>
    <w:p>
      <w:pPr>
        <w:numPr>
          <w:ilvl w:val="0"/>
          <w:numId w:val="1001"/>
        </w:numPr>
        <w:pStyle w:val="Compact"/>
      </w:pPr>
      <w:r>
        <w:t xml:space="preserve">Использовать Metasploit для поиска возможных атак.</w:t>
      </w:r>
    </w:p>
    <w:p>
      <w:pPr>
        <w:numPr>
          <w:ilvl w:val="0"/>
          <w:numId w:val="1001"/>
        </w:numPr>
        <w:pStyle w:val="Compact"/>
      </w:pPr>
      <w:r>
        <w:t xml:space="preserve">Эксплуатировать уязвимость CVE-2021-34473 (ProxyShell) для получения удаленного доступа.</w:t>
      </w:r>
    </w:p>
    <w:p>
      <w:pPr>
        <w:numPr>
          <w:ilvl w:val="0"/>
          <w:numId w:val="1001"/>
        </w:numPr>
        <w:pStyle w:val="Compact"/>
      </w:pPr>
      <w:r>
        <w:t xml:space="preserve">Получить флаг, доказывающий успешную эксплуатацию.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В современном мире кибербезопасность играет ключевую роль в защите информационных систем от атак злоумышленников. В связи с растущим числом кибератак и постоянным развитием методов взлома, организации уделяют особое внимание выявлению уязвимостей в своих сетях. Одним из эффективных способов проверки безопасности является тестирование на проникновение (penetration testing, pentest) – процесс, при котором специалисты моделируют действия потенциального злоумышленника для выявления слабых мест в системе.</w:t>
      </w:r>
      <w:r>
        <w:t xml:space="preserve"> </w:t>
      </w:r>
      <w:r>
        <w:t xml:space="preserve">Одним из инструментов для проведения таких тестов является киберполигон – специализированная среда, имитирующая реальную IT-инфраструктуру, где исследуются способы защиты и атаки на системы. Киберполигоны позволяют безопасно анализировать уязвимости, отрабатывать сценарии атак и разрабатывать стратегии защиты.</w:t>
      </w:r>
      <w:r>
        <w:t xml:space="preserve"> </w:t>
      </w:r>
      <w:r>
        <w:t xml:space="preserve">В данной лабораторной работе проводится тестирование безопасности инфраструктуры с использованием утилиты Nmap для сканирования сети, а также Metasploit Framework для эксплуатации уязвимостей. Особое внимание уделяется уязвимости CVE-2021-34473 (ProxyShell), связанной с почтовыми серверами Microsoft Exchange, которая позволяет злоумышленнику выполнить удаленное выполнение кода (RCE) и получить несанкционированный доступ к системе.</w:t>
      </w:r>
    </w:p>
    <w:bookmarkEnd w:id="22"/>
    <w:bookmarkStart w:id="49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Просканировали подсеть 195.239.174.0/24 для поиска открытых портов, которые можно использовать для атаки на инфраструктуру. Сканирование провели с использованием утилиты nmap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).</w:t>
      </w:r>
    </w:p>
    <w:bookmarkStart w:id="0" w:name="fig:001"/>
    <w:p>
      <w:pPr>
        <w:pStyle w:val="CaptionedFigure"/>
      </w:pPr>
      <w:bookmarkStart w:id="24" w:name="fig:001"/>
      <w:r>
        <w:drawing>
          <wp:inline>
            <wp:extent cx="5334000" cy="6416842"/>
            <wp:effectExtent b="0" l="0" r="0" t="0"/>
            <wp:docPr descr="Figure 1: Результат сканирования сети" title="" id="1" name="Picture"/>
            <a:graphic>
              <a:graphicData uri="http://schemas.openxmlformats.org/drawingml/2006/picture">
                <pic:pic>
                  <pic:nvPicPr>
                    <pic:cNvPr descr="image/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16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1: Результат сканирования сети</w:t>
      </w:r>
    </w:p>
    <w:bookmarkEnd w:id="0"/>
    <w:p>
      <w:pPr>
        <w:pStyle w:val="BodyText"/>
      </w:pPr>
      <w:r>
        <w:t xml:space="preserve">В результате сканирования на хосте 195.239.174.1 получены следующие открытые порты 25 и 443: 25 порт – стандартный порт, предназначенный для передачи электронных писем между почтовыми сервисами; 443 порт – стандартный порт для защищенной связи веб-браузера. Наличие данных портов предполагает, что на хосте 195.239.174.1 установлен почтовый сервер. В наличии почтового сервера можно убедиться по адресу https://195.239.174.1</w:t>
      </w:r>
    </w:p>
    <w:p>
      <w:pPr>
        <w:numPr>
          <w:ilvl w:val="0"/>
          <w:numId w:val="1003"/>
        </w:numPr>
        <w:pStyle w:val="Compact"/>
      </w:pPr>
      <w:r>
        <w:t xml:space="preserve">Зашли в режим разработчика, нажали правую кнопку мыши и выбрали в контекстном меню «Inspect (Q)». (рис.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).</w:t>
      </w:r>
    </w:p>
    <w:bookmarkStart w:id="0" w:name="fig:002"/>
    <w:p>
      <w:pPr>
        <w:pStyle w:val="CaptionedFigure"/>
      </w:pPr>
      <w:bookmarkStart w:id="26" w:name="fig:002"/>
      <w:r>
        <w:drawing>
          <wp:inline>
            <wp:extent cx="5334000" cy="4000500"/>
            <wp:effectExtent b="0" l="0" r="0" t="0"/>
            <wp:docPr descr="Figure 2: Веб-интерфейс Exchange Server" title="" id="1" name="Picture"/>
            <a:graphic>
              <a:graphicData uri="http://schemas.openxmlformats.org/drawingml/2006/picture">
                <pic:pic>
                  <pic:nvPicPr>
                    <pic:cNvPr descr="image/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2: Веб-интерфейс Exchange Server</w:t>
      </w:r>
    </w:p>
    <w:bookmarkEnd w:id="0"/>
    <w:p>
      <w:pPr>
        <w:pStyle w:val="BodyText"/>
      </w:pPr>
      <w:r>
        <w:t xml:space="preserve">(рис.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).</w:t>
      </w:r>
    </w:p>
    <w:bookmarkStart w:id="0" w:name="fig:003"/>
    <w:p>
      <w:pPr>
        <w:pStyle w:val="CaptionedFigure"/>
      </w:pPr>
      <w:bookmarkStart w:id="28" w:name="fig:003"/>
      <w:r>
        <w:drawing>
          <wp:inline>
            <wp:extent cx="5334000" cy="4000500"/>
            <wp:effectExtent b="0" l="0" r="0" t="0"/>
            <wp:docPr descr="Figure 3: Получение версии Exchange Server" title="" id="1" name="Picture"/>
            <a:graphic>
              <a:graphicData uri="http://schemas.openxmlformats.org/drawingml/2006/picture">
                <pic:pic>
                  <pic:nvPicPr>
                    <pic:cNvPr descr="image/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3: Получение версии Exchange Server</w:t>
      </w:r>
    </w:p>
    <w:bookmarkEnd w:id="0"/>
    <w:p>
      <w:pPr>
        <w:numPr>
          <w:ilvl w:val="0"/>
          <w:numId w:val="1004"/>
        </w:numPr>
        <w:pStyle w:val="Compact"/>
      </w:pPr>
      <w:r>
        <w:t xml:space="preserve">Для атаки использовали инструмент для создания, тестирования и использования exploit Metasploit. Для поиска возможных векторов атаки дальнейшее сканирование с помощью данного модуля (рис.</w:t>
      </w:r>
      <w:r>
        <w:t xml:space="preserve"> </w:t>
      </w:r>
      <w:hyperlink w:anchor="fig:004">
        <w:r>
          <w:rPr>
            <w:rStyle w:val="Hyperlink"/>
          </w:rPr>
          <w:t xml:space="preserve">4</w:t>
        </w:r>
      </w:hyperlink>
      <w:r>
        <w:t xml:space="preserve">).</w:t>
      </w:r>
    </w:p>
    <w:bookmarkStart w:id="0" w:name="fig:004"/>
    <w:p>
      <w:pPr>
        <w:pStyle w:val="CaptionedFigure"/>
      </w:pPr>
      <w:bookmarkStart w:id="30" w:name="fig:004"/>
      <w:r>
        <w:drawing>
          <wp:inline>
            <wp:extent cx="5334000" cy="5225616"/>
            <wp:effectExtent b="0" l="0" r="0" t="0"/>
            <wp:docPr descr="Figure 4: Запуск модуля Metasploit" title="" id="1" name="Picture"/>
            <a:graphic>
              <a:graphicData uri="http://schemas.openxmlformats.org/drawingml/2006/picture">
                <pic:pic>
                  <pic:nvPicPr>
                    <pic:cNvPr descr="image/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25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4: Запуск модуля Metasploit</w:t>
      </w:r>
    </w:p>
    <w:bookmarkEnd w:id="0"/>
    <w:p>
      <w:pPr>
        <w:pStyle w:val="BodyText"/>
      </w:pPr>
      <w:r>
        <w:t xml:space="preserve">Ввели пароль: qwe123!@# (рис.</w:t>
      </w:r>
      <w:r>
        <w:t xml:space="preserve"> </w:t>
      </w:r>
      <w:hyperlink w:anchor="fig:005">
        <w:r>
          <w:rPr>
            <w:rStyle w:val="Hyperlink"/>
          </w:rPr>
          <w:t xml:space="preserve">5</w:t>
        </w:r>
      </w:hyperlink>
      <w:r>
        <w:t xml:space="preserve">).</w:t>
      </w:r>
    </w:p>
    <w:bookmarkStart w:id="0" w:name="fig:005"/>
    <w:p>
      <w:pPr>
        <w:pStyle w:val="CaptionedFigure"/>
      </w:pPr>
      <w:bookmarkStart w:id="32" w:name="fig:005"/>
      <w:r>
        <w:drawing>
          <wp:inline>
            <wp:extent cx="4819650" cy="3810000"/>
            <wp:effectExtent b="0" l="0" r="0" t="0"/>
            <wp:docPr descr="Figure 5: Вход с систему" title="" id="1" name="Picture"/>
            <a:graphic>
              <a:graphicData uri="http://schemas.openxmlformats.org/drawingml/2006/picture">
                <pic:pic>
                  <pic:nvPicPr>
                    <pic:cNvPr descr="image/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5: Вход с систему</w:t>
      </w:r>
    </w:p>
    <w:bookmarkEnd w:id="0"/>
    <w:p>
      <w:pPr>
        <w:pStyle w:val="BodyText"/>
      </w:pPr>
      <w:r>
        <w:t xml:space="preserve">Получили доступ: (рис.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).</w:t>
      </w:r>
    </w:p>
    <w:bookmarkStart w:id="0" w:name="fig:006"/>
    <w:p>
      <w:pPr>
        <w:pStyle w:val="CaptionedFigure"/>
      </w:pPr>
      <w:bookmarkStart w:id="34" w:name="fig:006"/>
      <w:r>
        <w:drawing>
          <wp:inline>
            <wp:extent cx="5334000" cy="6326232"/>
            <wp:effectExtent b="0" l="0" r="0" t="0"/>
            <wp:docPr descr="Figure 6: Вход с систему" title="" id="1" name="Picture"/>
            <a:graphic>
              <a:graphicData uri="http://schemas.openxmlformats.org/drawingml/2006/picture">
                <pic:pic>
                  <pic:nvPicPr>
                    <pic:cNvPr descr="image/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26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6: Вход с систему</w:t>
      </w:r>
    </w:p>
    <w:bookmarkEnd w:id="0"/>
    <w:p>
      <w:pPr>
        <w:numPr>
          <w:ilvl w:val="0"/>
          <w:numId w:val="1005"/>
        </w:numPr>
        <w:pStyle w:val="Compact"/>
      </w:pPr>
      <w:r>
        <w:t xml:space="preserve">Для захвата флага получили сессию с удаленным хостом 195.239.174.1 с использованием возможность RCE. Далее произвели захват флага, эксплуатируя возможность RCE двумя модулями (рис.</w:t>
      </w:r>
      <w:r>
        <w:t xml:space="preserve"> </w:t>
      </w:r>
      <w:hyperlink w:anchor="fig:007">
        <w:r>
          <w:rPr>
            <w:rStyle w:val="Hyperlink"/>
          </w:rPr>
          <w:t xml:space="preserve">7</w:t>
        </w:r>
      </w:hyperlink>
      <w:r>
        <w:t xml:space="preserve">).</w:t>
      </w:r>
    </w:p>
    <w:bookmarkStart w:id="0" w:name="fig:007"/>
    <w:p>
      <w:pPr>
        <w:pStyle w:val="CaptionedFigure"/>
      </w:pPr>
      <w:bookmarkStart w:id="36" w:name="fig:007"/>
      <w:r>
        <w:drawing>
          <wp:inline>
            <wp:extent cx="5334000" cy="4000500"/>
            <wp:effectExtent b="0" l="0" r="0" t="0"/>
            <wp:docPr descr="Figure 7: Перечень модулей Metasploit для атаки" title="" id="1" name="Picture"/>
            <a:graphic>
              <a:graphicData uri="http://schemas.openxmlformats.org/drawingml/2006/picture">
                <pic:pic>
                  <pic:nvPicPr>
                    <pic:cNvPr descr="image/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7: Перечень модулей Metasploit для атаки</w:t>
      </w:r>
    </w:p>
    <w:bookmarkEnd w:id="0"/>
    <w:p>
      <w:pPr>
        <w:numPr>
          <w:ilvl w:val="0"/>
          <w:numId w:val="1006"/>
        </w:numPr>
        <w:pStyle w:val="Compact"/>
      </w:pPr>
      <w:r>
        <w:t xml:space="preserve">Далее воспользовались модулем windows/http/exchange_proxyshell_rce. С помощью команды use 15 выбрали данный модуль и задали параметры lhost (IP-адрес атакующей машины) и rhosts (IP-адрес целевой системы) (рис.</w:t>
      </w:r>
      <w:r>
        <w:t xml:space="preserve"> </w:t>
      </w:r>
      <w:hyperlink w:anchor="fig:008">
        <w:r>
          <w:rPr>
            <w:rStyle w:val="Hyperlink"/>
          </w:rPr>
          <w:t xml:space="preserve">8</w:t>
        </w:r>
      </w:hyperlink>
      <w:r>
        <w:t xml:space="preserve">).</w:t>
      </w:r>
    </w:p>
    <w:bookmarkStart w:id="0" w:name="fig:008"/>
    <w:p>
      <w:pPr>
        <w:pStyle w:val="CaptionedFigure"/>
      </w:pPr>
      <w:bookmarkStart w:id="38" w:name="fig:008"/>
      <w:r>
        <w:drawing>
          <wp:inline>
            <wp:extent cx="5334000" cy="966787"/>
            <wp:effectExtent b="0" l="0" r="0" t="0"/>
            <wp:docPr descr="Figure 8: Установка необходимых для exploit параметров" title="" id="1" name="Picture"/>
            <a:graphic>
              <a:graphicData uri="http://schemas.openxmlformats.org/drawingml/2006/picture">
                <pic:pic>
                  <pic:nvPicPr>
                    <pic:cNvPr descr="image/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6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8: Установка необходимых для exploit параметров</w:t>
      </w:r>
    </w:p>
    <w:bookmarkEnd w:id="0"/>
    <w:p>
      <w:pPr>
        <w:pStyle w:val="BodyText"/>
      </w:pPr>
      <w:r>
        <w:t xml:space="preserve">Далее запустили модуль ProxyShell и получили meterpeter сессию.</w:t>
      </w:r>
      <w:r>
        <w:t xml:space="preserve"> </w:t>
      </w:r>
      <w:r>
        <w:t xml:space="preserve">В процессе эксплуатации модуля ProxyShell обнаружена и проэксплуатирована уязвимость CVE-2021 34473 – https://www.cvedetails.com/cve/CVE-2021-34473. (рис.</w:t>
      </w:r>
      <w:r>
        <w:t xml:space="preserve"> </w:t>
      </w:r>
      <w:hyperlink w:anchor="fig:009">
        <w:r>
          <w:rPr>
            <w:rStyle w:val="Hyperlink"/>
          </w:rPr>
          <w:t xml:space="preserve">9</w:t>
        </w:r>
      </w:hyperlink>
      <w:r>
        <w:t xml:space="preserve">).</w:t>
      </w:r>
    </w:p>
    <w:bookmarkStart w:id="0" w:name="fig:009"/>
    <w:p>
      <w:pPr>
        <w:pStyle w:val="CaptionedFigure"/>
      </w:pPr>
      <w:bookmarkStart w:id="40" w:name="fig:009"/>
      <w:r>
        <w:drawing>
          <wp:inline>
            <wp:extent cx="5334000" cy="2400300"/>
            <wp:effectExtent b="0" l="0" r="0" t="0"/>
            <wp:docPr descr="Figure 9: Нахождение уязвимого сервера" title="" id="1" name="Picture"/>
            <a:graphic>
              <a:graphicData uri="http://schemas.openxmlformats.org/drawingml/2006/picture">
                <pic:pic>
                  <pic:nvPicPr>
                    <pic:cNvPr descr="image/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9: Нахождение уязвимого сервера</w:t>
      </w:r>
    </w:p>
    <w:bookmarkEnd w:id="0"/>
    <w:p>
      <w:pPr>
        <w:pStyle w:val="BodyText"/>
      </w:pPr>
      <w:r>
        <w:t xml:space="preserve">С использованием почты manager1@ampire.corp применили данный модуль для получения соединения с удаленным узлом. Далее задали все необходимые параметры для модуля</w:t>
      </w:r>
    </w:p>
    <w:p>
      <w:pPr>
        <w:numPr>
          <w:ilvl w:val="0"/>
          <w:numId w:val="1007"/>
        </w:numPr>
        <w:pStyle w:val="Compact"/>
      </w:pPr>
      <w:r>
        <w:t xml:space="preserve">Следующим шагом запустили эксплуатацию уязвимости ProxyLogon (рис.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).</w:t>
      </w:r>
    </w:p>
    <w:bookmarkStart w:id="0" w:name="fig:010"/>
    <w:p>
      <w:pPr>
        <w:pStyle w:val="CaptionedFigure"/>
      </w:pPr>
      <w:bookmarkStart w:id="42" w:name="fig:010"/>
      <w:r>
        <w:drawing>
          <wp:inline>
            <wp:extent cx="5334000" cy="4000500"/>
            <wp:effectExtent b="0" l="0" r="0" t="0"/>
            <wp:docPr descr="Figure 10: Процесс эксплуатации уязвимого сервера" title="" id="1" name="Picture"/>
            <a:graphic>
              <a:graphicData uri="http://schemas.openxmlformats.org/drawingml/2006/picture">
                <pic:pic>
                  <pic:nvPicPr>
                    <pic:cNvPr descr="imag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10: Процесс эксплуатации уязвимого сервера</w:t>
      </w:r>
    </w:p>
    <w:bookmarkEnd w:id="0"/>
    <w:p>
      <w:pPr>
        <w:pStyle w:val="BodyText"/>
      </w:pPr>
      <w:r>
        <w:t xml:space="preserve">(рис.</w:t>
      </w:r>
      <w:r>
        <w:t xml:space="preserve"> </w:t>
      </w:r>
      <w:hyperlink w:anchor="fig:011">
        <w:r>
          <w:rPr>
            <w:rStyle w:val="Hyperlink"/>
          </w:rPr>
          <w:t xml:space="preserve">11</w:t>
        </w:r>
      </w:hyperlink>
      <w:r>
        <w:t xml:space="preserve">).</w:t>
      </w:r>
    </w:p>
    <w:bookmarkStart w:id="0" w:name="fig:011"/>
    <w:p>
      <w:pPr>
        <w:pStyle w:val="CaptionedFigure"/>
      </w:pPr>
      <w:bookmarkStart w:id="44" w:name="fig:011"/>
      <w:r>
        <w:drawing>
          <wp:inline>
            <wp:extent cx="5334000" cy="4000500"/>
            <wp:effectExtent b="0" l="0" r="0" t="0"/>
            <wp:docPr descr="Figure 11: Процесс эксплуатации уязвимого сервера" title="" id="1" name="Picture"/>
            <a:graphic>
              <a:graphicData uri="http://schemas.openxmlformats.org/drawingml/2006/picture">
                <pic:pic>
                  <pic:nvPicPr>
                    <pic:cNvPr descr="imag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11: Процесс эксплуатации уязвимого сервера</w:t>
      </w:r>
    </w:p>
    <w:bookmarkEnd w:id="0"/>
    <w:p>
      <w:pPr>
        <w:pStyle w:val="BodyText"/>
      </w:pPr>
      <w:r>
        <w:t xml:space="preserve">После получения сессии с почтовым сервером можно найти флаг по пути Windows.system32 в файле flag_for_red_team.txt (рис.</w:t>
      </w:r>
      <w:r>
        <w:t xml:space="preserve"> </w:t>
      </w:r>
      <w:hyperlink w:anchor="fig:012">
        <w:r>
          <w:rPr>
            <w:rStyle w:val="Hyperlink"/>
          </w:rPr>
          <w:t xml:space="preserve">12</w:t>
        </w:r>
      </w:hyperlink>
      <w:r>
        <w:t xml:space="preserve">).</w:t>
      </w:r>
    </w:p>
    <w:bookmarkStart w:id="0" w:name="fig:012"/>
    <w:p>
      <w:pPr>
        <w:pStyle w:val="CaptionedFigure"/>
      </w:pPr>
      <w:bookmarkStart w:id="46" w:name="fig:012"/>
      <w:r>
        <w:drawing>
          <wp:inline>
            <wp:extent cx="5334000" cy="305808"/>
            <wp:effectExtent b="0" l="0" r="0" t="0"/>
            <wp:docPr descr="Figure 12: Путь к флагу" title="" id="1" name="Picture"/>
            <a:graphic>
              <a:graphicData uri="http://schemas.openxmlformats.org/drawingml/2006/picture">
                <pic:pic>
                  <pic:nvPicPr>
                    <pic:cNvPr descr="imag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12: Путь к флагу</w:t>
      </w:r>
    </w:p>
    <w:bookmarkEnd w:id="0"/>
    <w:p>
      <w:pPr>
        <w:pStyle w:val="BodyText"/>
      </w:pPr>
      <w:r>
        <w:t xml:space="preserve">Попытались зайти снова используя use 15:(рис.</w:t>
      </w:r>
      <w:r>
        <w:t xml:space="preserve"> </w:t>
      </w:r>
      <w:hyperlink w:anchor="fig:013">
        <w:r>
          <w:rPr>
            <w:rStyle w:val="Hyperlink"/>
          </w:rPr>
          <w:t xml:space="preserve">13</w:t>
        </w:r>
      </w:hyperlink>
      <w:r>
        <w:t xml:space="preserve">).</w:t>
      </w:r>
    </w:p>
    <w:bookmarkStart w:id="0" w:name="fig:013"/>
    <w:p>
      <w:pPr>
        <w:pStyle w:val="CaptionedFigure"/>
      </w:pPr>
      <w:bookmarkStart w:id="48" w:name="fig:013"/>
      <w:r>
        <w:drawing>
          <wp:inline>
            <wp:extent cx="5334000" cy="625078"/>
            <wp:effectExtent b="0" l="0" r="0" t="0"/>
            <wp:docPr descr="Figure 13: Проверка" title="" id="1" name="Picture"/>
            <a:graphic>
              <a:graphicData uri="http://schemas.openxmlformats.org/drawingml/2006/picture">
                <pic:pic>
                  <pic:nvPicPr>
                    <pic:cNvPr descr="imag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5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13: Проверка</w:t>
      </w:r>
    </w:p>
    <w:bookmarkEnd w:id="0"/>
    <w:bookmarkEnd w:id="49"/>
    <w:bookmarkStart w:id="51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лабораторной работы было проведено тестирование на проникновение с целью выявления уязвимостей в инфраструктуре. С помощью утилиты Nmap был выполнен анализ сети, выявлены открытые порты и определены работающие сервисы. Для эксплуатации уязвимости использовался Metasploit Framework, что позволило получить удаленный доступ к системе посредством уязвимости CVE-2021-34473 (ProxyShell).</w:t>
      </w:r>
    </w:p>
    <w:p>
      <w:pPr>
        <w:pStyle w:val="BodyText"/>
      </w:pPr>
      <w:r>
        <w:t xml:space="preserve">В результате успешного проведения атаки была получена Meterpreter-сессия, что дало возможность выполнить команды на удаленной системе и обнаружить флаг, подтверждающий успешную эксплуатацию. Работа продемонстрировала важность тестирования на проникновение для выявления уязвимостей и необходимости своевременного обновления программного обеспечения для предотвращения атак.</w:t>
      </w:r>
    </w:p>
    <w:bookmarkStart w:id="50" w:name="refs"/>
    <w:bookmarkEnd w:id="50"/>
    <w:bookmarkEnd w:id="5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41" Target="media/rId41.jpg" /><Relationship Type="http://schemas.openxmlformats.org/officeDocument/2006/relationships/image" Id="rId43" Target="media/rId43.jpg" /><Relationship Type="http://schemas.openxmlformats.org/officeDocument/2006/relationships/image" Id="rId45" Target="media/rId45.jpg" /><Relationship Type="http://schemas.openxmlformats.org/officeDocument/2006/relationships/image" Id="rId47" Target="media/rId47.jpg" /><Relationship Type="http://schemas.openxmlformats.org/officeDocument/2006/relationships/image" Id="rId25" Target="media/rId25.jpg" /><Relationship Type="http://schemas.openxmlformats.org/officeDocument/2006/relationships/image" Id="rId27" Target="media/rId27.jpg" /><Relationship Type="http://schemas.openxmlformats.org/officeDocument/2006/relationships/image" Id="rId29" Target="media/rId29.jpg" /><Relationship Type="http://schemas.openxmlformats.org/officeDocument/2006/relationships/image" Id="rId31" Target="media/rId31.jpg" /><Relationship Type="http://schemas.openxmlformats.org/officeDocument/2006/relationships/image" Id="rId33" Target="media/rId33.jpg" /><Relationship Type="http://schemas.openxmlformats.org/officeDocument/2006/relationships/image" Id="rId35" Target="media/rId35.jpg" /><Relationship Type="http://schemas.openxmlformats.org/officeDocument/2006/relationships/image" Id="rId37" Target="media/rId37.jpg" /><Relationship Type="http://schemas.openxmlformats.org/officeDocument/2006/relationships/image" Id="rId39" Target="media/rId39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№2</dc:title>
  <dc:creator>Выполнили Студенты группы НБИбд-02-22. Щербака В.В., Захаренко А.В., Кроитору Е.</dc:creator>
  <dc:language>ru-RU</dc:language>
  <cp:keywords/>
  <dcterms:created xsi:type="dcterms:W3CDTF">2025-03-27T20:20:23Z</dcterms:created>
  <dcterms:modified xsi:type="dcterms:W3CDTF">2025-03-27T20:20:23Z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Киберполигон захват почтового сервера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